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F" w:rsidRDefault="00AA07F4" w:rsidP="00D86682">
      <w:pPr>
        <w:jc w:val="center"/>
        <w:rPr>
          <w:rFonts w:ascii="Bookman Old Style" w:hAnsi="Bookman Old Style"/>
          <w:sz w:val="24"/>
          <w:szCs w:val="24"/>
        </w:rPr>
      </w:pPr>
      <w:r w:rsidRPr="00AA07F4">
        <w:rPr>
          <w:rFonts w:ascii="Bookman Old Style" w:hAnsi="Bookman Old Style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-424816</wp:posOffset>
            </wp:positionV>
            <wp:extent cx="1146791" cy="128587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9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7F4" w:rsidRDefault="00AA07F4" w:rsidP="00D86682">
      <w:pPr>
        <w:jc w:val="center"/>
        <w:rPr>
          <w:rFonts w:ascii="Book Antiqua" w:hAnsi="Book Antiqua"/>
          <w:b/>
          <w:color w:val="002060"/>
          <w:sz w:val="48"/>
          <w:szCs w:val="48"/>
        </w:rPr>
      </w:pPr>
    </w:p>
    <w:p w:rsidR="00AA07F4" w:rsidRDefault="00AA07F4" w:rsidP="00D86682">
      <w:pPr>
        <w:jc w:val="center"/>
        <w:rPr>
          <w:rFonts w:ascii="Book Antiqua" w:hAnsi="Book Antiqua"/>
          <w:b/>
          <w:color w:val="002060"/>
          <w:sz w:val="48"/>
          <w:szCs w:val="48"/>
        </w:rPr>
      </w:pPr>
    </w:p>
    <w:p w:rsidR="008F5B7F" w:rsidRPr="008F5B7F" w:rsidRDefault="008F5B7F" w:rsidP="00D86682">
      <w:pPr>
        <w:jc w:val="center"/>
        <w:rPr>
          <w:rFonts w:ascii="Book Antiqua" w:hAnsi="Book Antiqua"/>
          <w:b/>
          <w:color w:val="002060"/>
          <w:sz w:val="48"/>
          <w:szCs w:val="48"/>
        </w:rPr>
      </w:pPr>
      <w:r w:rsidRPr="008F5B7F">
        <w:rPr>
          <w:rFonts w:ascii="Book Antiqua" w:hAnsi="Book Antiqua"/>
          <w:b/>
          <w:color w:val="002060"/>
          <w:sz w:val="48"/>
          <w:szCs w:val="48"/>
        </w:rPr>
        <w:t>C</w:t>
      </w:r>
      <w:r w:rsidR="00AA07F4">
        <w:rPr>
          <w:rFonts w:ascii="Book Antiqua" w:hAnsi="Book Antiqua"/>
          <w:b/>
          <w:color w:val="002060"/>
          <w:sz w:val="48"/>
          <w:szCs w:val="48"/>
        </w:rPr>
        <w:t xml:space="preserve">OMUNE </w:t>
      </w:r>
      <w:proofErr w:type="spellStart"/>
      <w:r w:rsidR="00AA07F4">
        <w:rPr>
          <w:rFonts w:ascii="Book Antiqua" w:hAnsi="Book Antiqua"/>
          <w:b/>
          <w:color w:val="002060"/>
          <w:sz w:val="48"/>
          <w:szCs w:val="48"/>
        </w:rPr>
        <w:t>DI</w:t>
      </w:r>
      <w:proofErr w:type="spellEnd"/>
      <w:r w:rsidR="00AA07F4">
        <w:rPr>
          <w:rFonts w:ascii="Book Antiqua" w:hAnsi="Book Antiqua"/>
          <w:b/>
          <w:color w:val="002060"/>
          <w:sz w:val="48"/>
          <w:szCs w:val="48"/>
        </w:rPr>
        <w:t xml:space="preserve"> MONTECALVO IRPINO</w:t>
      </w:r>
    </w:p>
    <w:p w:rsidR="008F5B7F" w:rsidRPr="008F5B7F" w:rsidRDefault="008F5B7F" w:rsidP="00A83F5B">
      <w:pPr>
        <w:jc w:val="right"/>
        <w:rPr>
          <w:rFonts w:ascii="Book Antiqua" w:hAnsi="Book Antiqua"/>
          <w:b/>
          <w:color w:val="002060"/>
          <w:sz w:val="36"/>
          <w:szCs w:val="36"/>
        </w:rPr>
      </w:pPr>
    </w:p>
    <w:p w:rsidR="00364322" w:rsidRPr="00973A07" w:rsidRDefault="00364322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</w:pPr>
      <w:r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Avviso di consultazione pubblica</w:t>
      </w:r>
    </w:p>
    <w:p w:rsidR="00364322" w:rsidRPr="00973A07" w:rsidRDefault="00400F0C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</w:pPr>
      <w:r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per l’aggiornamento del</w:t>
      </w:r>
      <w:r w:rsidR="00CD3DBB"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 xml:space="preserve"> </w:t>
      </w:r>
      <w:r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piao 202</w:t>
      </w:r>
      <w:r w:rsidR="00B507D4"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4</w:t>
      </w:r>
      <w:r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 xml:space="preserve"> – 202</w:t>
      </w:r>
      <w:r w:rsidR="00B507D4"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6</w:t>
      </w:r>
    </w:p>
    <w:p w:rsidR="00400F0C" w:rsidRPr="00CD3DBB" w:rsidRDefault="00400F0C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</w:pPr>
      <w:r w:rsidRPr="00973A07">
        <w:rPr>
          <w:rFonts w:ascii="Book Antiqua" w:eastAsia="MS Mincho" w:hAnsi="Book Antiqua"/>
          <w:b/>
          <w:bCs/>
          <w:iCs/>
          <w:caps/>
          <w:color w:val="002060"/>
          <w:sz w:val="28"/>
          <w:szCs w:val="28"/>
        </w:rPr>
        <w:t>sezione rischi corruttivi e trasparenza</w:t>
      </w:r>
    </w:p>
    <w:p w:rsidR="00CD3DBB" w:rsidRDefault="00CD3DBB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olor w:val="002060"/>
          <w:sz w:val="28"/>
          <w:szCs w:val="28"/>
        </w:rPr>
      </w:pPr>
    </w:p>
    <w:p w:rsidR="00364322" w:rsidRPr="00CD3DBB" w:rsidRDefault="00364322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olor w:val="002060"/>
          <w:sz w:val="28"/>
          <w:szCs w:val="28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8"/>
          <w:szCs w:val="28"/>
        </w:rPr>
        <w:t>IL RESPONSABILE DELLA PREVENZIONE DELLA CORRUZIONE</w:t>
      </w:r>
    </w:p>
    <w:p w:rsidR="00364322" w:rsidRPr="00CD3DBB" w:rsidRDefault="00364322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olor w:val="002060"/>
          <w:sz w:val="28"/>
          <w:szCs w:val="28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8"/>
          <w:szCs w:val="28"/>
        </w:rPr>
        <w:t>E DELLA TRASPARENZA</w:t>
      </w:r>
    </w:p>
    <w:p w:rsidR="00364322" w:rsidRPr="00CD3DBB" w:rsidRDefault="00364322" w:rsidP="00400F0C">
      <w:pPr>
        <w:pStyle w:val="Testonormale"/>
        <w:spacing w:line="360" w:lineRule="auto"/>
        <w:jc w:val="both"/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  <w:t>VISTI E RICHIAMATI</w:t>
      </w:r>
    </w:p>
    <w:p w:rsidR="00364322" w:rsidRPr="00CD3DBB" w:rsidRDefault="00364322" w:rsidP="00400F0C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la Legge 6 novembre 2012, n. 190 “</w:t>
      </w:r>
      <w:r w:rsidRPr="00CD3DBB">
        <w:rPr>
          <w:rFonts w:ascii="Book Antiqua" w:eastAsia="MS Mincho" w:hAnsi="Book Antiqua"/>
          <w:i/>
          <w:color w:val="002060"/>
          <w:sz w:val="24"/>
          <w:szCs w:val="24"/>
        </w:rPr>
        <w:t>Disposizioni per la prevenzione e la repressione della corruzione e dell'illegalità nella pubblica amministrazione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” e ss. mm. ii.;</w:t>
      </w:r>
    </w:p>
    <w:p w:rsidR="00364322" w:rsidRPr="00CD3DBB" w:rsidRDefault="00364322" w:rsidP="00400F0C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il Decreto Legislativo 14 marzo 2013, n. 33 “</w:t>
      </w:r>
      <w:r w:rsidRPr="00CD3DBB">
        <w:rPr>
          <w:rFonts w:ascii="Book Antiqua" w:eastAsia="MS Mincho" w:hAnsi="Book Antiqua"/>
          <w:i/>
          <w:color w:val="002060"/>
          <w:sz w:val="24"/>
          <w:szCs w:val="24"/>
        </w:rPr>
        <w:t>Riordino della disciplina riguardante gli obblighi di pubblicità, trasparenza e diffusione di informazioni da parte delle pubbliche amministrazioni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" e ss. mm. ii.;</w:t>
      </w:r>
    </w:p>
    <w:p w:rsidR="007572F1" w:rsidRPr="00CD3DBB" w:rsidRDefault="007572F1" w:rsidP="00400F0C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il C.C.N.L. Regioni – Enti locali 2019-2021;</w:t>
      </w:r>
    </w:p>
    <w:p w:rsidR="004D4FF2" w:rsidRPr="00CD3DBB" w:rsidRDefault="007572F1" w:rsidP="00400F0C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il PNA 2022-2024;</w:t>
      </w:r>
    </w:p>
    <w:p w:rsidR="00400F0C" w:rsidRPr="00CD3DBB" w:rsidRDefault="00400F0C" w:rsidP="00400F0C">
      <w:pPr>
        <w:pStyle w:val="Testonormale"/>
        <w:spacing w:line="360" w:lineRule="auto"/>
        <w:jc w:val="both"/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  <w:t>DATO ATTO</w:t>
      </w:r>
    </w:p>
    <w:p w:rsidR="00400F0C" w:rsidRPr="00CD3DBB" w:rsidRDefault="00400F0C" w:rsidP="00400F0C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</w:pPr>
      <w:r w:rsidRPr="00CD3DBB">
        <w:rPr>
          <w:rFonts w:ascii="Book Antiqua" w:hAnsi="Book Antiqua"/>
          <w:color w:val="002060"/>
          <w:sz w:val="24"/>
          <w:szCs w:val="24"/>
        </w:rPr>
        <w:t>che dall’anno 2022, ai sensi dell’articolo 6 del decreto legge n. 80 del 9 giugno 2021 convertito con modificazioni nella legge 6/08/2021 n. 113, il Piano triennale della prevenzione della corruzione e della trasparenza è confluito nella sezione "Rischi corruttivi e trasparenza" del Piano integrato di attività e organizzazione, P</w:t>
      </w:r>
      <w:r w:rsidR="00973A07">
        <w:rPr>
          <w:rFonts w:ascii="Book Antiqua" w:hAnsi="Book Antiqua"/>
          <w:color w:val="002060"/>
          <w:sz w:val="24"/>
          <w:szCs w:val="24"/>
        </w:rPr>
        <w:t>IAO</w:t>
      </w:r>
      <w:r w:rsidRPr="00CD3DBB">
        <w:rPr>
          <w:rFonts w:ascii="Book Antiqua" w:hAnsi="Book Antiqua"/>
          <w:color w:val="002060"/>
          <w:sz w:val="24"/>
          <w:szCs w:val="24"/>
        </w:rPr>
        <w:t>, che viene adottato dall’Amministrazione comunale</w:t>
      </w:r>
      <w:r w:rsidR="008F5B7F" w:rsidRPr="00CD3DBB">
        <w:rPr>
          <w:rFonts w:ascii="Book Antiqua" w:hAnsi="Book Antiqua"/>
          <w:color w:val="002060"/>
          <w:sz w:val="24"/>
          <w:szCs w:val="24"/>
        </w:rPr>
        <w:t xml:space="preserve"> ed</w:t>
      </w:r>
      <w:r w:rsidRPr="00CD3DBB">
        <w:rPr>
          <w:rFonts w:ascii="Book Antiqua" w:hAnsi="Book Antiqua"/>
          <w:color w:val="002060"/>
          <w:sz w:val="24"/>
          <w:szCs w:val="24"/>
        </w:rPr>
        <w:t xml:space="preserve"> ha durata triennale;</w:t>
      </w:r>
    </w:p>
    <w:p w:rsidR="008F5B7F" w:rsidRPr="00CD3DBB" w:rsidRDefault="00400F0C" w:rsidP="008F5B7F">
      <w:pPr>
        <w:pStyle w:val="Testonormale"/>
        <w:spacing w:line="360" w:lineRule="auto"/>
        <w:ind w:left="360"/>
        <w:jc w:val="both"/>
        <w:rPr>
          <w:rFonts w:ascii="Book Antiqua" w:hAnsi="Book Antiqua"/>
          <w:color w:val="002060"/>
          <w:sz w:val="24"/>
          <w:szCs w:val="24"/>
        </w:rPr>
      </w:pPr>
      <w:r w:rsidRPr="00CD3DBB">
        <w:rPr>
          <w:rFonts w:ascii="Book Antiqua" w:hAnsi="Book Antiqua"/>
          <w:color w:val="002060"/>
          <w:sz w:val="24"/>
          <w:szCs w:val="24"/>
        </w:rPr>
        <w:t>In osservanza della legge 190/2012 e del decreto legislativo 33/2013, ed in linea con quanto raccomandato dall'Autorità nazionale anticorruzione (ANAC),</w:t>
      </w:r>
      <w:r w:rsidR="00DE7AAF" w:rsidRPr="00CD3DBB">
        <w:rPr>
          <w:rFonts w:ascii="Book Antiqua" w:hAnsi="Book Antiqua"/>
          <w:color w:val="002060"/>
          <w:sz w:val="24"/>
          <w:szCs w:val="24"/>
        </w:rPr>
        <w:t xml:space="preserve"> ed 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in attuazione </w:t>
      </w:r>
      <w:r w:rsidR="00DE7AAF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del </w:t>
      </w:r>
      <w:r w:rsidR="007572F1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PIAO 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>202</w:t>
      </w:r>
      <w:r w:rsidR="00B507D4">
        <w:rPr>
          <w:rFonts w:ascii="Book Antiqua" w:eastAsia="MS Mincho" w:hAnsi="Book Antiqua"/>
          <w:iCs/>
          <w:color w:val="002060"/>
          <w:sz w:val="24"/>
          <w:szCs w:val="24"/>
        </w:rPr>
        <w:t>3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>-202</w:t>
      </w:r>
      <w:r w:rsidR="00B507D4">
        <w:rPr>
          <w:rFonts w:ascii="Book Antiqua" w:eastAsia="MS Mincho" w:hAnsi="Book Antiqua"/>
          <w:iCs/>
          <w:color w:val="002060"/>
          <w:sz w:val="24"/>
          <w:szCs w:val="24"/>
        </w:rPr>
        <w:t>5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</w:t>
      </w:r>
      <w:r w:rsidR="00DE7AAF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del Comune di </w:t>
      </w:r>
      <w:r w:rsidR="00AA07F4">
        <w:rPr>
          <w:rFonts w:ascii="Book Antiqua" w:eastAsia="MS Mincho" w:hAnsi="Book Antiqua"/>
          <w:iCs/>
          <w:color w:val="002060"/>
          <w:sz w:val="24"/>
          <w:szCs w:val="24"/>
        </w:rPr>
        <w:t xml:space="preserve">Montecalvo Irpino </w:t>
      </w:r>
      <w:r w:rsidR="00DE7AAF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approvato </w:t>
      </w:r>
      <w:r w:rsidR="00364322" w:rsidRPr="00CD3DBB">
        <w:rPr>
          <w:rFonts w:ascii="Book Antiqua" w:hAnsi="Book Antiqua"/>
          <w:color w:val="002060"/>
          <w:sz w:val="24"/>
          <w:szCs w:val="24"/>
        </w:rPr>
        <w:t xml:space="preserve">con </w:t>
      </w:r>
      <w:r w:rsidR="008F5B7F" w:rsidRPr="00CD3DBB">
        <w:rPr>
          <w:rFonts w:ascii="Book Antiqua" w:hAnsi="Book Antiqua"/>
          <w:color w:val="002060"/>
          <w:sz w:val="24"/>
          <w:szCs w:val="24"/>
        </w:rPr>
        <w:t xml:space="preserve">Deliberazione </w:t>
      </w:r>
      <w:r w:rsidR="00AA07F4">
        <w:rPr>
          <w:rFonts w:ascii="Book Antiqua" w:hAnsi="Book Antiqua"/>
          <w:color w:val="002060"/>
          <w:sz w:val="24"/>
          <w:szCs w:val="24"/>
        </w:rPr>
        <w:t>G.C. n. 74</w:t>
      </w:r>
      <w:r w:rsidR="008F5B7F" w:rsidRPr="00CD3DBB">
        <w:rPr>
          <w:rFonts w:ascii="Book Antiqua" w:hAnsi="Book Antiqua"/>
          <w:color w:val="002060"/>
          <w:sz w:val="24"/>
          <w:szCs w:val="24"/>
        </w:rPr>
        <w:t xml:space="preserve"> del </w:t>
      </w:r>
      <w:r w:rsidR="00AA07F4">
        <w:rPr>
          <w:rFonts w:ascii="Book Antiqua" w:hAnsi="Book Antiqua"/>
          <w:color w:val="002060"/>
          <w:sz w:val="24"/>
          <w:szCs w:val="24"/>
        </w:rPr>
        <w:t>17</w:t>
      </w:r>
      <w:r w:rsidR="008F5B7F" w:rsidRPr="00CD3DBB">
        <w:rPr>
          <w:rFonts w:ascii="Book Antiqua" w:hAnsi="Book Antiqua"/>
          <w:color w:val="002060"/>
          <w:sz w:val="24"/>
          <w:szCs w:val="24"/>
        </w:rPr>
        <w:t>.</w:t>
      </w:r>
      <w:r w:rsidR="00AA07F4">
        <w:rPr>
          <w:rFonts w:ascii="Book Antiqua" w:hAnsi="Book Antiqua"/>
          <w:color w:val="002060"/>
          <w:sz w:val="24"/>
          <w:szCs w:val="24"/>
        </w:rPr>
        <w:t>6</w:t>
      </w:r>
      <w:r w:rsidR="008F5B7F" w:rsidRPr="00CD3DBB">
        <w:rPr>
          <w:rFonts w:ascii="Book Antiqua" w:hAnsi="Book Antiqua"/>
          <w:color w:val="002060"/>
          <w:sz w:val="24"/>
          <w:szCs w:val="24"/>
        </w:rPr>
        <w:t>.202</w:t>
      </w:r>
      <w:r w:rsidR="00B507D4">
        <w:rPr>
          <w:rFonts w:ascii="Book Antiqua" w:hAnsi="Book Antiqua"/>
          <w:color w:val="002060"/>
          <w:sz w:val="24"/>
          <w:szCs w:val="24"/>
        </w:rPr>
        <w:t>3</w:t>
      </w:r>
      <w:r w:rsidR="00AA07F4">
        <w:rPr>
          <w:rFonts w:ascii="Book Antiqua" w:hAnsi="Book Antiqua"/>
          <w:color w:val="002060"/>
          <w:sz w:val="24"/>
          <w:szCs w:val="24"/>
        </w:rPr>
        <w:t>;</w:t>
      </w:r>
      <w:r w:rsidR="00907C2B">
        <w:rPr>
          <w:rFonts w:ascii="Book Antiqua" w:hAnsi="Book Antiqua"/>
          <w:color w:val="002060"/>
          <w:sz w:val="24"/>
          <w:szCs w:val="24"/>
        </w:rPr>
        <w:t xml:space="preserve"> </w:t>
      </w:r>
    </w:p>
    <w:p w:rsidR="00364322" w:rsidRPr="00CD3DBB" w:rsidRDefault="00364322" w:rsidP="00364322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Tutto ciò premesso</w:t>
      </w:r>
    </w:p>
    <w:p w:rsidR="00364322" w:rsidRPr="00CD3DBB" w:rsidRDefault="00364322" w:rsidP="00364322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  <w:t>I N D I C E</w:t>
      </w:r>
    </w:p>
    <w:p w:rsidR="00364322" w:rsidRPr="00CD3DBB" w:rsidRDefault="00364322" w:rsidP="00364322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b/>
          <w:bCs/>
          <w:iCs/>
          <w:color w:val="002060"/>
          <w:sz w:val="24"/>
          <w:szCs w:val="24"/>
        </w:rPr>
        <w:lastRenderedPageBreak/>
        <w:t>procedura di consultazione pubblica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per garantire la più ampia partecipazione al fine di acquisire proposte e/o osservazioni in merito alla </w:t>
      </w:r>
      <w:r w:rsidR="00400F0C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approvazione del nuovo </w:t>
      </w:r>
      <w:r w:rsidR="00400F0C" w:rsidRPr="00973A07">
        <w:rPr>
          <w:rFonts w:ascii="Book Antiqua" w:eastAsia="MS Mincho" w:hAnsi="Book Antiqua"/>
          <w:b/>
          <w:iCs/>
          <w:color w:val="002060"/>
          <w:sz w:val="24"/>
          <w:szCs w:val="24"/>
        </w:rPr>
        <w:t>PIAO 202</w:t>
      </w:r>
      <w:r w:rsidR="00B507D4" w:rsidRPr="00973A07">
        <w:rPr>
          <w:rFonts w:ascii="Book Antiqua" w:eastAsia="MS Mincho" w:hAnsi="Book Antiqua"/>
          <w:b/>
          <w:iCs/>
          <w:color w:val="002060"/>
          <w:sz w:val="24"/>
          <w:szCs w:val="24"/>
        </w:rPr>
        <w:t>4</w:t>
      </w:r>
      <w:r w:rsidR="00400F0C" w:rsidRPr="00973A07">
        <w:rPr>
          <w:rFonts w:ascii="Book Antiqua" w:eastAsia="MS Mincho" w:hAnsi="Book Antiqua"/>
          <w:b/>
          <w:iCs/>
          <w:color w:val="002060"/>
          <w:sz w:val="24"/>
          <w:szCs w:val="24"/>
        </w:rPr>
        <w:t>-202</w:t>
      </w:r>
      <w:r w:rsidR="00B507D4" w:rsidRPr="00973A07">
        <w:rPr>
          <w:rFonts w:ascii="Book Antiqua" w:eastAsia="MS Mincho" w:hAnsi="Book Antiqua"/>
          <w:b/>
          <w:iCs/>
          <w:color w:val="002060"/>
          <w:sz w:val="24"/>
          <w:szCs w:val="24"/>
        </w:rPr>
        <w:t>6</w:t>
      </w:r>
      <w:r w:rsidR="00400F0C" w:rsidRPr="00973A07">
        <w:rPr>
          <w:rFonts w:ascii="Book Antiqua" w:eastAsia="MS Mincho" w:hAnsi="Book Antiqua"/>
          <w:b/>
          <w:iCs/>
          <w:color w:val="002060"/>
          <w:sz w:val="24"/>
          <w:szCs w:val="24"/>
        </w:rPr>
        <w:t>, specificatamente in relazione alla Sezione Rischi Corruttivi e Trasparenza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.</w:t>
      </w:r>
    </w:p>
    <w:p w:rsidR="00364322" w:rsidRDefault="00400F0C" w:rsidP="00364322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Il PIAO 202</w:t>
      </w:r>
      <w:r w:rsidR="00B507D4">
        <w:rPr>
          <w:rFonts w:ascii="Book Antiqua" w:eastAsia="MS Mincho" w:hAnsi="Book Antiqua"/>
          <w:iCs/>
          <w:color w:val="002060"/>
          <w:sz w:val="24"/>
          <w:szCs w:val="24"/>
        </w:rPr>
        <w:t>3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-202</w:t>
      </w:r>
      <w:r w:rsidR="00B507D4">
        <w:rPr>
          <w:rFonts w:ascii="Book Antiqua" w:eastAsia="MS Mincho" w:hAnsi="Book Antiqua"/>
          <w:iCs/>
          <w:color w:val="002060"/>
          <w:sz w:val="24"/>
          <w:szCs w:val="24"/>
        </w:rPr>
        <w:t>5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è 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>pubblicat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o </w:t>
      </w:r>
      <w:r w:rsidR="00364322" w:rsidRPr="00CD3DBB">
        <w:rPr>
          <w:rFonts w:ascii="Book Antiqua" w:eastAsia="MS Mincho" w:hAnsi="Book Antiqua"/>
          <w:iCs/>
          <w:color w:val="002060"/>
          <w:sz w:val="24"/>
          <w:szCs w:val="24"/>
        </w:rPr>
        <w:t>nella sezione “Amministrazione Trasparente” all’indirizzo:</w:t>
      </w:r>
    </w:p>
    <w:p w:rsidR="00AA07F4" w:rsidRDefault="00AA07F4" w:rsidP="00364322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hyperlink r:id="rId6" w:history="1">
        <w:r w:rsidRPr="00A2246F">
          <w:rPr>
            <w:rStyle w:val="Collegamentoipertestuale"/>
            <w:rFonts w:ascii="Book Antiqua" w:eastAsia="MS Mincho" w:hAnsi="Book Antiqua"/>
            <w:iCs/>
            <w:sz w:val="24"/>
            <w:szCs w:val="24"/>
          </w:rPr>
          <w:t>https://montecalvoirpino.portaletrasparenza.net/it/trasparenza/altri-contenuti/prevenzione-della-corruzione.html</w:t>
        </w:r>
      </w:hyperlink>
    </w:p>
    <w:p w:rsidR="008F5B7F" w:rsidRPr="00CD3DBB" w:rsidRDefault="00364322" w:rsidP="00364322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Si invitano le organizzazioni sindacali rappresentative, i cittadini, le associazioni dei consumatori e degli utenti e altre associazioni o forme di organizzazione e in generale tutti i soggetti che operano per conto del</w:t>
      </w:r>
      <w:r w:rsidR="007572F1" w:rsidRPr="00CD3DBB">
        <w:rPr>
          <w:rFonts w:ascii="Book Antiqua" w:eastAsia="MS Mincho" w:hAnsi="Book Antiqua"/>
          <w:iCs/>
          <w:color w:val="002060"/>
          <w:sz w:val="24"/>
          <w:szCs w:val="24"/>
        </w:rPr>
        <w:t>l’ente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e/o che fruiscono servizi prestati dallo stesso e, comunque, chiunque ne abbia interesse, a far pervenire le proprie proposte e/o osservazioni utilizzando il modello allegato.</w:t>
      </w:r>
    </w:p>
    <w:p w:rsidR="008F5B7F" w:rsidRPr="00CD3DBB" w:rsidRDefault="00364322" w:rsidP="008F5B7F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Le proposte e/o osservazioni devono essere presentate al Segretario Generale entro il termine delle </w:t>
      </w:r>
      <w:r w:rsidRPr="006B669E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 xml:space="preserve">ore 14 del </w:t>
      </w:r>
      <w:r w:rsidR="001C7C65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>6</w:t>
      </w:r>
      <w:r w:rsidRPr="006B669E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 xml:space="preserve"> </w:t>
      </w:r>
      <w:r w:rsidR="00AA07F4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>aprile</w:t>
      </w:r>
      <w:r w:rsidRPr="006B669E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 xml:space="preserve"> 202</w:t>
      </w:r>
      <w:r w:rsidR="00973A07">
        <w:rPr>
          <w:rFonts w:ascii="Book Antiqua" w:eastAsia="MS Mincho" w:hAnsi="Book Antiqua"/>
          <w:b/>
          <w:iCs/>
          <w:color w:val="002060"/>
          <w:sz w:val="24"/>
          <w:szCs w:val="24"/>
          <w:u w:val="single"/>
        </w:rPr>
        <w:t>4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tramite posta elettronica</w:t>
      </w:r>
      <w:r w:rsidR="006B669E">
        <w:rPr>
          <w:rFonts w:ascii="Book Antiqua" w:eastAsia="MS Mincho" w:hAnsi="Book Antiqua"/>
          <w:iCs/>
          <w:color w:val="002060"/>
          <w:sz w:val="24"/>
          <w:szCs w:val="24"/>
        </w:rPr>
        <w:t>/pec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a</w:t>
      </w:r>
      <w:r w:rsidR="006B669E">
        <w:rPr>
          <w:rFonts w:ascii="Book Antiqua" w:eastAsia="MS Mincho" w:hAnsi="Book Antiqua"/>
          <w:iCs/>
          <w:color w:val="002060"/>
          <w:sz w:val="24"/>
          <w:szCs w:val="24"/>
        </w:rPr>
        <w:t xml:space="preserve">gli 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indirizz</w:t>
      </w:r>
      <w:r w:rsidR="006B669E">
        <w:rPr>
          <w:rFonts w:ascii="Book Antiqua" w:eastAsia="MS Mincho" w:hAnsi="Book Antiqua"/>
          <w:iCs/>
          <w:color w:val="002060"/>
          <w:sz w:val="24"/>
          <w:szCs w:val="24"/>
        </w:rPr>
        <w:t>i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:</w:t>
      </w:r>
      <w:r w:rsidR="007572F1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</w:t>
      </w:r>
    </w:p>
    <w:p w:rsidR="00AA07F4" w:rsidRPr="00AA07F4" w:rsidRDefault="00AA07F4" w:rsidP="008F5B7F">
      <w:pPr>
        <w:pStyle w:val="Testonormale"/>
        <w:spacing w:line="360" w:lineRule="auto"/>
        <w:ind w:right="-1"/>
        <w:jc w:val="both"/>
        <w:rPr>
          <w:rFonts w:ascii="Book Antiqua" w:hAnsi="Book Antiqua"/>
          <w:sz w:val="24"/>
          <w:szCs w:val="24"/>
        </w:rPr>
      </w:pPr>
      <w:hyperlink r:id="rId7" w:history="1">
        <w:r w:rsidRPr="00AA07F4">
          <w:rPr>
            <w:rStyle w:val="Collegamentoipertestuale"/>
            <w:rFonts w:ascii="Book Antiqua" w:hAnsi="Book Antiqua"/>
            <w:sz w:val="24"/>
            <w:szCs w:val="24"/>
          </w:rPr>
          <w:t>prot.comunemontecalvoirpino@legalkosmos.com</w:t>
        </w:r>
      </w:hyperlink>
    </w:p>
    <w:p w:rsidR="008F5B7F" w:rsidRPr="00CD3DBB" w:rsidRDefault="00364322" w:rsidP="008F5B7F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oppure via posta o consegna diretta al</w:t>
      </w:r>
      <w:r w:rsidR="007572F1" w:rsidRPr="00CD3DBB">
        <w:rPr>
          <w:rFonts w:ascii="Book Antiqua" w:eastAsia="MS Mincho" w:hAnsi="Book Antiqua"/>
          <w:iCs/>
          <w:color w:val="002060"/>
          <w:sz w:val="24"/>
          <w:szCs w:val="24"/>
        </w:rPr>
        <w:t>l’ente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.</w:t>
      </w:r>
    </w:p>
    <w:p w:rsidR="00364322" w:rsidRPr="00CD3DBB" w:rsidRDefault="00364322" w:rsidP="008F5B7F">
      <w:pPr>
        <w:pStyle w:val="Testonormale"/>
        <w:spacing w:line="360" w:lineRule="auto"/>
        <w:ind w:right="-1"/>
        <w:jc w:val="both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Tali proposte di integrazione, purché ammissibili in relazione al contenuto del </w:t>
      </w:r>
      <w:r w:rsidR="00400F0C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PIAO 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e al quadro normativo vigente, saranno valutate all'interno del procedimento </w:t>
      </w:r>
      <w:bookmarkStart w:id="0" w:name="_GoBack"/>
      <w:bookmarkEnd w:id="0"/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istruttorio volto alla definitiva approvazione del </w:t>
      </w:r>
      <w:r w:rsidR="00400F0C" w:rsidRPr="00CD3DBB">
        <w:rPr>
          <w:rFonts w:ascii="Book Antiqua" w:eastAsia="MS Mincho" w:hAnsi="Book Antiqua"/>
          <w:iCs/>
          <w:color w:val="002060"/>
          <w:sz w:val="24"/>
          <w:szCs w:val="24"/>
        </w:rPr>
        <w:t>piano medesimo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.</w:t>
      </w:r>
    </w:p>
    <w:p w:rsidR="00907C2B" w:rsidRDefault="00364322" w:rsidP="00CD3DBB">
      <w:pPr>
        <w:pStyle w:val="Testonormale"/>
        <w:spacing w:line="360" w:lineRule="auto"/>
        <w:ind w:right="-1"/>
        <w:jc w:val="center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                                      </w:t>
      </w:r>
    </w:p>
    <w:p w:rsidR="00364322" w:rsidRPr="00CD3DBB" w:rsidRDefault="00364322" w:rsidP="00907C2B">
      <w:pPr>
        <w:pStyle w:val="Testonormale"/>
        <w:spacing w:line="360" w:lineRule="auto"/>
        <w:ind w:left="1416" w:right="-1" w:firstLine="708"/>
        <w:jc w:val="center"/>
        <w:rPr>
          <w:rFonts w:ascii="Book Antiqua" w:eastAsia="MS Mincho" w:hAnsi="Book Antiqua"/>
          <w:iCs/>
          <w:color w:val="00206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    </w:t>
      </w:r>
      <w:r w:rsidR="00907C2B">
        <w:rPr>
          <w:rFonts w:ascii="Book Antiqua" w:eastAsia="MS Mincho" w:hAnsi="Book Antiqua"/>
          <w:iCs/>
          <w:color w:val="002060"/>
          <w:sz w:val="24"/>
          <w:szCs w:val="24"/>
        </w:rPr>
        <w:tab/>
      </w:r>
      <w:r w:rsidR="00907C2B">
        <w:rPr>
          <w:rFonts w:ascii="Book Antiqua" w:eastAsia="MS Mincho" w:hAnsi="Book Antiqua"/>
          <w:iCs/>
          <w:color w:val="002060"/>
          <w:sz w:val="24"/>
          <w:szCs w:val="24"/>
        </w:rPr>
        <w:tab/>
      </w:r>
      <w:r w:rsidR="00907C2B">
        <w:rPr>
          <w:rFonts w:ascii="Book Antiqua" w:eastAsia="MS Mincho" w:hAnsi="Book Antiqua"/>
          <w:iCs/>
          <w:color w:val="002060"/>
          <w:sz w:val="24"/>
          <w:szCs w:val="24"/>
        </w:rPr>
        <w:tab/>
      </w:r>
      <w:r w:rsidR="00CD3DBB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Il Segretario Generale </w:t>
      </w: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>RPCT</w:t>
      </w:r>
      <w:r w:rsidR="00CD3DBB"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</w:t>
      </w:r>
    </w:p>
    <w:p w:rsidR="00364322" w:rsidRPr="00CD3DBB" w:rsidRDefault="00364322" w:rsidP="00907C2B">
      <w:pPr>
        <w:pStyle w:val="Testonormale"/>
        <w:spacing w:line="360" w:lineRule="auto"/>
        <w:ind w:left="708" w:right="-1" w:firstLine="708"/>
        <w:jc w:val="center"/>
        <w:rPr>
          <w:rFonts w:ascii="Book Antiqua" w:eastAsia="MS Mincho" w:hAnsi="Book Antiqua"/>
          <w:iCs/>
          <w:color w:val="1F3864" w:themeColor="accent5" w:themeShade="80"/>
          <w:sz w:val="24"/>
          <w:szCs w:val="24"/>
        </w:rPr>
      </w:pPr>
      <w:r w:rsidRPr="00CD3DBB">
        <w:rPr>
          <w:rFonts w:ascii="Book Antiqua" w:eastAsia="MS Mincho" w:hAnsi="Book Antiqua"/>
          <w:iCs/>
          <w:color w:val="002060"/>
          <w:sz w:val="24"/>
          <w:szCs w:val="24"/>
        </w:rPr>
        <w:t xml:space="preserve">                                               MORANO</w:t>
      </w:r>
    </w:p>
    <w:p w:rsidR="008F5B7F" w:rsidRDefault="008F5B7F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p w:rsidR="00AA07F4" w:rsidRPr="00AA07F4" w:rsidRDefault="00AA07F4" w:rsidP="008F5B7F">
      <w:pPr>
        <w:pBdr>
          <w:bottom w:val="single" w:sz="12" w:space="1" w:color="auto"/>
        </w:pBdr>
        <w:ind w:left="360"/>
        <w:jc w:val="center"/>
        <w:rPr>
          <w:rFonts w:ascii="Monotype Corsiva" w:hAnsi="Monotype Corsiva"/>
        </w:rPr>
      </w:pPr>
    </w:p>
    <w:sectPr w:rsidR="00AA07F4" w:rsidRPr="00AA07F4" w:rsidSect="00B4017E">
      <w:pgSz w:w="11907" w:h="16840" w:code="9"/>
      <w:pgMar w:top="1134" w:right="1559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Z@R37F.tmp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41FE"/>
    <w:multiLevelType w:val="hybridMultilevel"/>
    <w:tmpl w:val="2DB852DC"/>
    <w:lvl w:ilvl="0" w:tplc="72DCEE50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3F5B"/>
    <w:rsid w:val="00002235"/>
    <w:rsid w:val="000F1BDA"/>
    <w:rsid w:val="000F22EF"/>
    <w:rsid w:val="0012295F"/>
    <w:rsid w:val="00164F83"/>
    <w:rsid w:val="001C7C65"/>
    <w:rsid w:val="00273E3F"/>
    <w:rsid w:val="00364322"/>
    <w:rsid w:val="003A1FD2"/>
    <w:rsid w:val="00400F0C"/>
    <w:rsid w:val="004958B0"/>
    <w:rsid w:val="004D4FF2"/>
    <w:rsid w:val="006045C3"/>
    <w:rsid w:val="006B669E"/>
    <w:rsid w:val="007572F1"/>
    <w:rsid w:val="007E3056"/>
    <w:rsid w:val="0089424E"/>
    <w:rsid w:val="008B058E"/>
    <w:rsid w:val="008F5B7F"/>
    <w:rsid w:val="00907C2B"/>
    <w:rsid w:val="00971ABE"/>
    <w:rsid w:val="00973A07"/>
    <w:rsid w:val="009B4E4A"/>
    <w:rsid w:val="00A83F5B"/>
    <w:rsid w:val="00AA07F4"/>
    <w:rsid w:val="00AB41FA"/>
    <w:rsid w:val="00AE0629"/>
    <w:rsid w:val="00B4017E"/>
    <w:rsid w:val="00B507D4"/>
    <w:rsid w:val="00C3446A"/>
    <w:rsid w:val="00C80E6E"/>
    <w:rsid w:val="00CB2DF6"/>
    <w:rsid w:val="00CD3DBB"/>
    <w:rsid w:val="00D86682"/>
    <w:rsid w:val="00DE7AAF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8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nhideWhenUsed/>
    <w:rsid w:val="0036432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36432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36432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7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72F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72F1"/>
    <w:rPr>
      <w:color w:val="954F72" w:themeColor="followedHyperlink"/>
      <w:u w:val="single"/>
    </w:rPr>
  </w:style>
  <w:style w:type="character" w:customStyle="1" w:styleId="Carpredefinitoparagrafo2">
    <w:name w:val="Car. predefinito paragrafo2"/>
    <w:rsid w:val="004D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8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nhideWhenUsed/>
    <w:rsid w:val="0036432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36432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36432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7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72F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72F1"/>
    <w:rPr>
      <w:color w:val="954F72" w:themeColor="followedHyperlink"/>
      <w:u w:val="single"/>
    </w:rPr>
  </w:style>
  <w:style w:type="character" w:customStyle="1" w:styleId="Carpredefinitoparagrafo2">
    <w:name w:val="Car. predefinito paragrafo2"/>
    <w:rsid w:val="004D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.comunemontecalvoirpino@legalkosm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calvoirpino.portaletrasparenza.net/it/trasparenza/altri-contenuti/prevenzione-della-corruzione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Windows</cp:lastModifiedBy>
  <cp:revision>12</cp:revision>
  <cp:lastPrinted>2023-02-20T14:27:00Z</cp:lastPrinted>
  <dcterms:created xsi:type="dcterms:W3CDTF">2022-12-30T08:35:00Z</dcterms:created>
  <dcterms:modified xsi:type="dcterms:W3CDTF">2024-03-22T09:45:00Z</dcterms:modified>
</cp:coreProperties>
</file>